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</w:rPr>
      </w:pPr>
    </w:p>
    <w:p w:rsidR="00180684" w:rsidRPr="006610FD" w:rsidRDefault="008953EF" w:rsidP="00180684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Exposés</w:t>
      </w:r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de Fr</w:t>
      </w:r>
      <w:r w:rsidR="00AC0135" w:rsidRPr="006610FD">
        <w:rPr>
          <w:rFonts w:ascii="Times New Roman" w:hAnsi="Times New Roman" w:cs="Times New Roman"/>
          <w:sz w:val="24"/>
          <w:szCs w:val="24"/>
          <w:lang w:val="fr-FR"/>
        </w:rPr>
        <w:t>1004</w:t>
      </w:r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br/>
      </w:r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br/>
        <w:t xml:space="preserve">liste d'idées (sur le syllabus de </w:t>
      </w:r>
      <w:proofErr w:type="spellStart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>BBd</w:t>
      </w:r>
      <w:proofErr w:type="spellEnd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>) pour aider le professeur à tout organiser</w:t>
      </w:r>
    </w:p>
    <w:p w:rsidR="00180684" w:rsidRPr="006610FD" w:rsidRDefault="00180684" w:rsidP="00180684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:rsidR="00180684" w:rsidRPr="006610FD" w:rsidRDefault="008953EF" w:rsidP="0018068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Exposés à deux</w:t>
      </w:r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6610FD">
        <w:rPr>
          <w:rFonts w:ascii="Times New Roman" w:hAnsi="Times New Roman" w:cs="Times New Roman"/>
          <w:sz w:val="24"/>
          <w:szCs w:val="24"/>
          <w:lang w:val="fr-FR"/>
        </w:rPr>
        <w:t>17</w:t>
      </w:r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>sujets;</w:t>
      </w:r>
      <w:proofErr w:type="gramEnd"/>
      <w:r w:rsidR="00180684"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chaque étudiant fera deux exposés en tout</w:t>
      </w:r>
      <w:r w:rsidR="006610FD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8953EF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 w:rsidRPr="006610FD">
        <w:rPr>
          <w:rFonts w:ascii="Times New Roman" w:hAnsi="Times New Roman" w:cs="Times New Roman"/>
          <w:sz w:val="24"/>
          <w:szCs w:val="24"/>
          <w:lang w:val="fr-FR"/>
        </w:rPr>
        <w:t>Suggestion:</w:t>
      </w:r>
      <w:proofErr w:type="gramEnd"/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Afficher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6610FD">
        <w:rPr>
          <w:rFonts w:ascii="Times New Roman" w:hAnsi="Times New Roman" w:cs="Times New Roman"/>
          <w:b/>
          <w:sz w:val="24"/>
          <w:szCs w:val="24"/>
          <w:lang w:val="fr-FR"/>
        </w:rPr>
        <w:t xml:space="preserve">sur le syllabus de </w:t>
      </w:r>
      <w:proofErr w:type="spellStart"/>
      <w:r w:rsidRPr="006610FD">
        <w:rPr>
          <w:rFonts w:ascii="Times New Roman" w:hAnsi="Times New Roman" w:cs="Times New Roman"/>
          <w:b/>
          <w:sz w:val="24"/>
          <w:szCs w:val="24"/>
          <w:lang w:val="fr-FR"/>
        </w:rPr>
        <w:t>BBd</w:t>
      </w:r>
      <w:proofErr w:type="spellEnd"/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avant la fin de la première semaine de cours les noms des deux étudiants pour 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les premiers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exposés - compléter le reste du syllabus vers la deuxième ou troisième semaine du semestre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>. N'utiliser que le nombre de sujets nécessaires. Par exemple, pour 1</w:t>
      </w:r>
      <w:r w:rsidR="006610FD">
        <w:rPr>
          <w:rFonts w:ascii="Times New Roman" w:hAnsi="Times New Roman" w:cs="Times New Roman"/>
          <w:sz w:val="24"/>
          <w:szCs w:val="24"/>
          <w:lang w:val="fr-FR"/>
        </w:rPr>
        <w:t>5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étudiants, choisir </w:t>
      </w:r>
      <w:r w:rsidR="006610FD">
        <w:rPr>
          <w:rFonts w:ascii="Times New Roman" w:hAnsi="Times New Roman" w:cs="Times New Roman"/>
          <w:sz w:val="24"/>
          <w:szCs w:val="24"/>
          <w:lang w:val="fr-FR"/>
        </w:rPr>
        <w:t>15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sujets </w:t>
      </w:r>
      <w:r w:rsidR="006610FD">
        <w:rPr>
          <w:rFonts w:ascii="Times New Roman" w:hAnsi="Times New Roman" w:cs="Times New Roman"/>
          <w:sz w:val="24"/>
          <w:szCs w:val="24"/>
          <w:lang w:val="fr-FR"/>
        </w:rPr>
        <w:t>(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pour deux présentations chacun), etc. 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Ce serait sans doute plus clair de supprimer du syllabus les</w:t>
      </w:r>
      <w:r w:rsidRPr="006610FD">
        <w:rPr>
          <w:rFonts w:ascii="Times New Roman" w:hAnsi="Times New Roman" w:cs="Times New Roman"/>
          <w:sz w:val="24"/>
          <w:szCs w:val="24"/>
          <w:lang w:val="fr-FR"/>
        </w:rPr>
        <w:t xml:space="preserve"> sujets 'non-utilisés'</w:t>
      </w:r>
      <w:r w:rsidR="008953EF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180684" w:rsidRDefault="006610FD" w:rsidP="00180684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ATTENTION: Si vous avez plus de 1</w:t>
      </w:r>
      <w:r w:rsidR="00456D23">
        <w:rPr>
          <w:rFonts w:ascii="Times New Roman" w:hAnsi="Times New Roman" w:cs="Times New Roman"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étudiants il faut ajouter d'autres sujets</w:t>
      </w:r>
      <w:r w:rsidR="00845BD5">
        <w:rPr>
          <w:rFonts w:ascii="Times New Roman" w:hAnsi="Times New Roman" w:cs="Times New Roman"/>
          <w:sz w:val="24"/>
          <w:szCs w:val="24"/>
          <w:lang w:val="fr-FR"/>
        </w:rPr>
        <w:t xml:space="preserve"> (voir « si nécessaire » sur le syllabus)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6610FD" w:rsidRPr="006610FD" w:rsidRDefault="006610FD" w:rsidP="00180684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RAPPEL: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Il s'agit de très court</w:t>
      </w:r>
      <w:r w:rsidR="00456D23">
        <w:rPr>
          <w:rFonts w:ascii="Times New Roman" w:hAnsi="Times New Roman" w:cs="Times New Roman"/>
          <w:sz w:val="24"/>
          <w:szCs w:val="24"/>
          <w:lang w:val="fr-FR"/>
        </w:rPr>
        <w:t xml:space="preserve">s exposés </w:t>
      </w:r>
      <w:r w:rsidR="00694220">
        <w:rPr>
          <w:rFonts w:ascii="Times New Roman" w:hAnsi="Times New Roman" w:cs="Times New Roman"/>
          <w:sz w:val="24"/>
          <w:szCs w:val="24"/>
          <w:lang w:val="fr-FR"/>
        </w:rPr>
        <w:t>où ils ne parlent que de l'essentiel.</w:t>
      </w:r>
    </w:p>
    <w:p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4624"/>
      </w:tblGrid>
      <w:tr w:rsidR="00180684" w:rsidRPr="006610FD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84" w:rsidRPr="006610FD" w:rsidRDefault="00180684" w:rsidP="00ED2051">
            <w:pPr>
              <w:pStyle w:val="NormalWeb"/>
              <w:rPr>
                <w:b/>
              </w:rPr>
            </w:pPr>
            <w:proofErr w:type="spellStart"/>
            <w:r w:rsidRPr="006610FD">
              <w:rPr>
                <w:b/>
              </w:rPr>
              <w:t>Sujet</w:t>
            </w:r>
            <w:proofErr w:type="spellEnd"/>
            <w:r w:rsidRPr="006610FD">
              <w:rPr>
                <w:b/>
              </w:rPr>
              <w:t>: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84" w:rsidRPr="006610FD" w:rsidRDefault="00180684" w:rsidP="00ED20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r w:rsidRPr="00661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Noms des étudiants:</w:t>
            </w:r>
          </w:p>
        </w:tc>
      </w:tr>
      <w:tr w:rsidR="006610FD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festival de Cannes (p. 204)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6610FD" w:rsidRPr="006610FD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cinéma</w:t>
            </w:r>
            <w:proofErr w:type="spellEnd"/>
            <w:r w:rsidRPr="00661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engagé</w:t>
            </w:r>
            <w:proofErr w:type="spellEnd"/>
            <w:r w:rsidRPr="006610FD">
              <w:rPr>
                <w:rFonts w:ascii="Times New Roman" w:hAnsi="Times New Roman" w:cs="Times New Roman"/>
                <w:sz w:val="24"/>
                <w:szCs w:val="24"/>
              </w:rPr>
              <w:t xml:space="preserve"> (p. 205)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684" w:rsidRPr="006610FD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84" w:rsidRPr="006610FD" w:rsidRDefault="00180684" w:rsidP="00ED2051">
            <w:pPr>
              <w:pStyle w:val="NormalWeb"/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684" w:rsidRPr="006610FD" w:rsidRDefault="00180684" w:rsidP="00ED20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6610FD" w:rsidRPr="006610FD" w:rsidTr="00861F12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Cyrano de Bergerac (p. 216)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0FD" w:rsidRPr="006610FD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François Truffaut (p. 235)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684" w:rsidRPr="006610FD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84" w:rsidRPr="006610FD" w:rsidRDefault="00180684" w:rsidP="00ED2051">
            <w:pPr>
              <w:pStyle w:val="NormalWeb"/>
              <w:rPr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84" w:rsidRPr="006610FD" w:rsidRDefault="00180684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6610FD" w:rsidRPr="006610FD" w:rsidTr="00ED2051">
        <w:trPr>
          <w:trHeight w:val="186"/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Les frères </w:t>
            </w:r>
            <w:proofErr w:type="spellStart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Mongolfier</w:t>
            </w:r>
            <w:proofErr w:type="spellEnd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(p. 257)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0FD" w:rsidRPr="006610FD" w:rsidTr="008C4A11">
        <w:trPr>
          <w:trHeight w:val="132"/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Le </w:t>
            </w:r>
            <w:proofErr w:type="spellStart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métro</w:t>
            </w:r>
            <w:proofErr w:type="spellEnd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parisien</w:t>
            </w:r>
            <w:proofErr w:type="spellEnd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(p. 257)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684" w:rsidRPr="006610FD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84" w:rsidRPr="006610FD" w:rsidRDefault="00180684" w:rsidP="00ED2051">
            <w:pPr>
              <w:pStyle w:val="NormalWeb"/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84" w:rsidRPr="006610FD" w:rsidRDefault="00180684" w:rsidP="00ED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0FD" w:rsidRPr="006610FD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Autolib</w:t>
            </w:r>
            <w:proofErr w:type="spellEnd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' (p. 270 </w:t>
            </w:r>
            <w:proofErr w:type="spellStart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tgtFrame="_blank" w:history="1">
              <w:proofErr w:type="spellStart"/>
              <w:r w:rsidRPr="006610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ici</w:t>
              </w:r>
              <w:proofErr w:type="spellEnd"/>
            </w:hyperlink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10FD" w:rsidRPr="006610FD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Style w:val="msonormal0"/>
                <w:rFonts w:ascii="Times New Roman" w:hAnsi="Times New Roman" w:cs="Times New Roman"/>
                <w:sz w:val="24"/>
                <w:szCs w:val="24"/>
              </w:rPr>
              <w:t>Fernand Léger (p. 258)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684" w:rsidRPr="006610FD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684" w:rsidRPr="006610FD" w:rsidRDefault="00180684" w:rsidP="00ED20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684" w:rsidRPr="006610FD" w:rsidRDefault="00180684" w:rsidP="00ED20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6610FD" w:rsidRPr="008953EF" w:rsidTr="00C93D1B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Gaugin</w:t>
            </w:r>
            <w:proofErr w:type="spellEnd"/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(p. 379 et/ou </w:t>
            </w:r>
            <w:hyperlink r:id="rId5" w:tgtFrame="_blank" w:history="1">
              <w:r w:rsidRPr="006610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ici</w:t>
              </w:r>
            </w:hyperlink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6610FD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Magritte (p. 380 et/ou </w:t>
            </w:r>
            <w:hyperlink r:id="rId6" w:tgtFrame="_blank" w:history="1">
              <w:r w:rsidRPr="006610F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fr-FR"/>
                </w:rPr>
                <w:t>ici</w:t>
              </w:r>
            </w:hyperlink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180684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84" w:rsidRPr="006610FD" w:rsidRDefault="00180684" w:rsidP="00ED2051">
            <w:pPr>
              <w:pStyle w:val="NormalWeb"/>
              <w:rPr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84" w:rsidRPr="006610FD" w:rsidRDefault="00180684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6610FD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congés et la semaine de 35 heures (p. 386)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6610FD" w:rsidRPr="008953EF" w:rsidTr="0003357F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Les jours féri</w:t>
            </w:r>
            <w:r w:rsidR="008953E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é</w:t>
            </w: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 au Cameroun (p. 395)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10FD" w:rsidRPr="006610FD" w:rsidRDefault="006610FD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180684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84" w:rsidRPr="006610FD" w:rsidRDefault="00180684" w:rsidP="00ED2051">
            <w:pPr>
              <w:pStyle w:val="NormalWeb"/>
              <w:rPr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84" w:rsidRPr="006610FD" w:rsidRDefault="00180684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180684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0684" w:rsidRPr="008953EF" w:rsidRDefault="008953EF" w:rsidP="00ED2051">
            <w:pPr>
              <w:pStyle w:val="NormalWeb"/>
              <w:rPr>
                <w:lang w:val="fr-FR"/>
              </w:rPr>
            </w:pPr>
            <w:r w:rsidRPr="008953EF">
              <w:rPr>
                <w:color w:val="FF0000"/>
                <w:lang w:val="fr-FR"/>
              </w:rPr>
              <w:t>L'expansion de la langue française (pages 343-344)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0684" w:rsidRPr="006610FD" w:rsidRDefault="00180684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6610FD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 w:rsidP="00ED2051">
            <w:pPr>
              <w:pStyle w:val="NormalWeb"/>
              <w:rPr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610FD" w:rsidRPr="006610FD" w:rsidRDefault="006610FD" w:rsidP="00ED205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953EF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8953EF" w:rsidRDefault="008953EF" w:rsidP="008953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953EF">
              <w:rPr>
                <w:rStyle w:val="msonormal0"/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La francophonie aux États-Unis (p. 331)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6610FD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</w:t>
            </w:r>
          </w:p>
        </w:tc>
      </w:tr>
      <w:tr w:rsidR="008953EF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8953EF" w:rsidRDefault="008953EF" w:rsidP="008953E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3EF">
              <w:rPr>
                <w:rStyle w:val="msonormal0"/>
                <w:rFonts w:ascii="Times New Roman" w:hAnsi="Times New Roman" w:cs="Times New Roman"/>
                <w:color w:val="FF0000"/>
                <w:sz w:val="24"/>
                <w:szCs w:val="24"/>
              </w:rPr>
              <w:t>Le zydeco (p. 349)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6610FD" w:rsidRDefault="008953EF" w:rsidP="00895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3EF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6610FD" w:rsidRDefault="008953EF" w:rsidP="008953EF">
            <w:pPr>
              <w:pStyle w:val="NormalWeb"/>
              <w:rPr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6610FD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953EF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8953EF" w:rsidRDefault="008953EF" w:rsidP="008953E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La Sorbonne (p. 304)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6610FD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953EF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8953EF" w:rsidRDefault="008953EF" w:rsidP="008953E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  <w:r w:rsidRPr="008953EF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GW (</w:t>
            </w:r>
            <w:hyperlink r:id="rId7" w:tgtFrame="_blank" w:history="1">
              <w:r w:rsidRPr="008953EF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  <w:lang w:val="fr-FR"/>
                </w:rPr>
                <w:t>quelques informations en français</w:t>
              </w:r>
            </w:hyperlink>
            <w:r w:rsidRPr="008953EF"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  <w:t>)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6610FD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953EF" w:rsidRPr="008953EF" w:rsidTr="00DE5786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53EF" w:rsidRPr="008953EF" w:rsidRDefault="008953EF" w:rsidP="008953E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6610FD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953EF" w:rsidRPr="008953EF" w:rsidTr="00ED2051">
        <w:trPr>
          <w:tblCellSpacing w:w="15" w:type="dxa"/>
        </w:trPr>
        <w:tc>
          <w:tcPr>
            <w:tcW w:w="2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8953EF" w:rsidRDefault="008953EF" w:rsidP="008953E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fr-FR"/>
              </w:rPr>
            </w:pP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53EF" w:rsidRPr="006610FD" w:rsidRDefault="008953EF" w:rsidP="008953EF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80684" w:rsidRPr="006610FD" w:rsidRDefault="00180684" w:rsidP="00180684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1C068F" w:rsidRPr="006610FD" w:rsidRDefault="001C068F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1C068F" w:rsidRPr="006610FD" w:rsidSect="00F4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FA"/>
    <w:rsid w:val="00180684"/>
    <w:rsid w:val="001C068F"/>
    <w:rsid w:val="00456D23"/>
    <w:rsid w:val="006610FD"/>
    <w:rsid w:val="00694220"/>
    <w:rsid w:val="00845BD5"/>
    <w:rsid w:val="008953EF"/>
    <w:rsid w:val="00AC0135"/>
    <w:rsid w:val="00D0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EF0F"/>
  <w15:docId w15:val="{E692706C-03AB-4430-8872-7DB7684E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68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06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msonormal0">
    <w:name w:val="msonormal"/>
    <w:basedOn w:val="DefaultParagraphFont"/>
    <w:rsid w:val="006610FD"/>
  </w:style>
  <w:style w:type="character" w:styleId="Hyperlink">
    <w:name w:val="Hyperlink"/>
    <w:basedOn w:val="DefaultParagraphFont"/>
    <w:uiPriority w:val="99"/>
    <w:semiHidden/>
    <w:unhideWhenUsed/>
    <w:rsid w:val="0066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r.wikipedia.org/wiki/Universit%C3%A9_George_Washingt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r.wikipedia.org/wiki/Ren%C3%A9_Magritte" TargetMode="External"/><Relationship Id="rId5" Type="http://schemas.openxmlformats.org/officeDocument/2006/relationships/hyperlink" Target="http://www.larousse.fr/encyclopedie/personnage/Paul_Gauguin/120941" TargetMode="External"/><Relationship Id="rId4" Type="http://schemas.openxmlformats.org/officeDocument/2006/relationships/hyperlink" Target="https://www.autolib.eu/f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GWU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</dc:creator>
  <cp:lastModifiedBy>David B Marshall</cp:lastModifiedBy>
  <cp:revision>4</cp:revision>
  <dcterms:created xsi:type="dcterms:W3CDTF">2018-05-31T23:13:00Z</dcterms:created>
  <dcterms:modified xsi:type="dcterms:W3CDTF">2018-05-31T23:14:00Z</dcterms:modified>
</cp:coreProperties>
</file>